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9D7225"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EF61CB" w:rsidRDefault="00EF61CB" w:rsidP="00EF61CB">
            <w:pPr>
              <w:jc w:val="center"/>
              <w:rPr>
                <w:b/>
                <w:szCs w:val="22"/>
              </w:rPr>
            </w:pPr>
            <w:r w:rsidRPr="00EF61CB">
              <w:rPr>
                <w:b/>
                <w:szCs w:val="22"/>
              </w:rPr>
              <w:t>Full Council</w:t>
            </w:r>
          </w:p>
        </w:tc>
        <w:tc>
          <w:tcPr>
            <w:tcW w:w="2268" w:type="dxa"/>
            <w:gridSpan w:val="2"/>
            <w:tcBorders>
              <w:bottom w:val="nil"/>
            </w:tcBorders>
            <w:vAlign w:val="center"/>
          </w:tcPr>
          <w:p w:rsidR="002F5C5E" w:rsidRPr="00EF61CB" w:rsidRDefault="00EF61CB" w:rsidP="00811E33">
            <w:pPr>
              <w:jc w:val="center"/>
              <w:rPr>
                <w:b/>
              </w:rPr>
            </w:pPr>
            <w:r w:rsidRPr="00EF61CB">
              <w:rPr>
                <w:b/>
              </w:rPr>
              <w:t>5 December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811E33" w:rsidRDefault="00EF61CB" w:rsidP="00E2196F">
            <w:pPr>
              <w:jc w:val="center"/>
            </w:pPr>
            <w:bookmarkStart w:id="0" w:name="_GoBack"/>
            <w:r w:rsidRPr="00811E33">
              <w:t>Revised Gambling Policy 2019-2022</w:t>
            </w:r>
            <w:bookmarkEnd w:id="0"/>
          </w:p>
        </w:tc>
        <w:tc>
          <w:tcPr>
            <w:tcW w:w="2977" w:type="dxa"/>
            <w:gridSpan w:val="2"/>
            <w:vAlign w:val="center"/>
          </w:tcPr>
          <w:p w:rsidR="0047741D" w:rsidRPr="00811E33" w:rsidRDefault="00811E33" w:rsidP="00811E33">
            <w:r>
              <w:t xml:space="preserve">Head of Legal </w:t>
            </w:r>
            <w:r w:rsidRPr="00811E33">
              <w:t>Se</w:t>
            </w:r>
            <w:r>
              <w:t>rvices</w:t>
            </w:r>
            <w:r w:rsidRPr="00811E33">
              <w:t>/Interim Monitoring Officer</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47741D" w:rsidRPr="00F3057A" w:rsidRDefault="0047741D" w:rsidP="00E2196F">
            <w:pPr>
              <w:rPr>
                <w:b/>
                <w:szCs w:val="22"/>
              </w:rPr>
            </w:pPr>
            <w:r w:rsidRPr="00F3057A">
              <w:rPr>
                <w:b/>
                <w:szCs w:val="22"/>
              </w:rPr>
              <w:t xml:space="preserve">No </w:t>
            </w:r>
          </w:p>
          <w:p w:rsidR="0047741D" w:rsidRPr="009C1143" w:rsidRDefault="0047741D" w:rsidP="00EF61CB">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Default="002F5C5E" w:rsidP="002F5C5E">
      <w:pPr>
        <w:keepNext/>
        <w:numPr>
          <w:ilvl w:val="0"/>
          <w:numId w:val="8"/>
        </w:numPr>
        <w:outlineLvl w:val="0"/>
        <w:rPr>
          <w:b/>
          <w:szCs w:val="22"/>
        </w:rPr>
      </w:pPr>
      <w:r w:rsidRPr="009C1143">
        <w:rPr>
          <w:b/>
          <w:szCs w:val="22"/>
        </w:rPr>
        <w:t xml:space="preserve">PURPOSE OF THE REPORT  </w:t>
      </w:r>
    </w:p>
    <w:p w:rsidR="000B5251" w:rsidRPr="009C1143" w:rsidRDefault="000B5251" w:rsidP="000B5251">
      <w:pPr>
        <w:keepNext/>
        <w:ind w:left="360"/>
        <w:outlineLvl w:val="0"/>
        <w:rPr>
          <w:b/>
          <w:szCs w:val="22"/>
        </w:rPr>
      </w:pPr>
    </w:p>
    <w:p w:rsidR="00EF61CB" w:rsidRPr="00F4022F" w:rsidRDefault="00EF61CB" w:rsidP="00EF61CB">
      <w:pPr>
        <w:keepNext/>
        <w:ind w:left="360"/>
        <w:outlineLvl w:val="0"/>
        <w:rPr>
          <w:rFonts w:cs="Arial"/>
          <w:b/>
          <w:szCs w:val="22"/>
        </w:rPr>
      </w:pPr>
    </w:p>
    <w:p w:rsidR="004E296F" w:rsidRDefault="004E296F" w:rsidP="004E296F">
      <w:pPr>
        <w:keepNext/>
        <w:ind w:left="360"/>
        <w:outlineLvl w:val="0"/>
        <w:rPr>
          <w:szCs w:val="22"/>
        </w:rPr>
      </w:pPr>
      <w:r w:rsidRPr="001B1D4F">
        <w:rPr>
          <w:szCs w:val="22"/>
        </w:rPr>
        <w:t xml:space="preserve">The report invites full Council to formally adopt the proposed </w:t>
      </w:r>
      <w:r>
        <w:rPr>
          <w:szCs w:val="22"/>
        </w:rPr>
        <w:t>Statement of Gambling Policy</w:t>
      </w:r>
      <w:r w:rsidR="00C55411">
        <w:rPr>
          <w:szCs w:val="22"/>
        </w:rPr>
        <w:t xml:space="preserve"> which will come into effect on the 31</w:t>
      </w:r>
      <w:r w:rsidR="00C55411" w:rsidRPr="00A666B0">
        <w:rPr>
          <w:szCs w:val="22"/>
          <w:vertAlign w:val="superscript"/>
        </w:rPr>
        <w:t>st</w:t>
      </w:r>
      <w:r w:rsidR="00C55411">
        <w:rPr>
          <w:szCs w:val="22"/>
        </w:rPr>
        <w:t xml:space="preserve"> January 2019.</w:t>
      </w:r>
    </w:p>
    <w:p w:rsidR="00EF61CB" w:rsidRDefault="004E296F" w:rsidP="00EF61CB">
      <w:pPr>
        <w:rPr>
          <w:rFonts w:cs="Arial"/>
          <w:szCs w:val="22"/>
        </w:rPr>
      </w:pPr>
      <w:r>
        <w:rPr>
          <w:rFonts w:cs="Arial"/>
          <w:szCs w:val="22"/>
        </w:rPr>
        <w:t xml:space="preserve"> </w:t>
      </w:r>
      <w:r w:rsidR="00EF61CB">
        <w:rPr>
          <w:rFonts w:cs="Arial"/>
          <w:szCs w:val="22"/>
        </w:rPr>
        <w:t>To review and consider the consultation responses to the Statement of Gambling Policy</w:t>
      </w:r>
    </w:p>
    <w:p w:rsidR="002F5C5E" w:rsidRPr="009C1143" w:rsidRDefault="002F5C5E" w:rsidP="002F5C5E">
      <w:pPr>
        <w:rPr>
          <w:sz w:val="16"/>
          <w:szCs w:val="16"/>
        </w:rPr>
      </w:pPr>
    </w:p>
    <w:p w:rsidR="002F5C5E" w:rsidRPr="009C1143" w:rsidRDefault="002F5C5E" w:rsidP="002F5C5E">
      <w:pPr>
        <w:rPr>
          <w:szCs w:val="22"/>
        </w:rPr>
      </w:pPr>
    </w:p>
    <w:p w:rsidR="002F5C5E" w:rsidRDefault="002F5C5E" w:rsidP="002F5C5E">
      <w:pPr>
        <w:keepNext/>
        <w:numPr>
          <w:ilvl w:val="0"/>
          <w:numId w:val="8"/>
        </w:numPr>
        <w:outlineLvl w:val="0"/>
        <w:rPr>
          <w:b/>
          <w:szCs w:val="22"/>
        </w:rPr>
      </w:pPr>
      <w:r w:rsidRPr="009C1143">
        <w:rPr>
          <w:b/>
          <w:szCs w:val="22"/>
        </w:rPr>
        <w:t>RECOMMENDATIONS</w:t>
      </w:r>
    </w:p>
    <w:p w:rsidR="00C55411" w:rsidRDefault="00C55411" w:rsidP="002F5C5E">
      <w:pPr>
        <w:keepNext/>
        <w:numPr>
          <w:ilvl w:val="0"/>
          <w:numId w:val="8"/>
        </w:numPr>
        <w:outlineLvl w:val="0"/>
        <w:rPr>
          <w:b/>
          <w:szCs w:val="22"/>
        </w:rPr>
      </w:pPr>
      <w:r>
        <w:rPr>
          <w:b/>
          <w:szCs w:val="22"/>
        </w:rPr>
        <w:t xml:space="preserve">Full Council is requested to:- </w:t>
      </w:r>
    </w:p>
    <w:p w:rsidR="000B5251" w:rsidRPr="009C1143" w:rsidRDefault="000B5251" w:rsidP="000B5251">
      <w:pPr>
        <w:keepNext/>
        <w:ind w:left="360"/>
        <w:outlineLvl w:val="0"/>
        <w:rPr>
          <w:b/>
          <w:szCs w:val="22"/>
        </w:rPr>
      </w:pPr>
    </w:p>
    <w:p w:rsidR="00C55411" w:rsidRDefault="00525728" w:rsidP="00EF61CB">
      <w:pPr>
        <w:pStyle w:val="ListParagraph"/>
        <w:numPr>
          <w:ilvl w:val="1"/>
          <w:numId w:val="8"/>
        </w:numPr>
        <w:rPr>
          <w:rFonts w:ascii="Arial" w:hAnsi="Arial" w:cs="Arial"/>
        </w:rPr>
      </w:pPr>
      <w:r>
        <w:rPr>
          <w:i/>
          <w:color w:val="2E74B5"/>
        </w:rPr>
        <w:t xml:space="preserve"> </w:t>
      </w:r>
      <w:r w:rsidR="00C55411">
        <w:t xml:space="preserve">1   </w:t>
      </w:r>
      <w:r w:rsidR="00C55411" w:rsidRPr="00A666B0">
        <w:rPr>
          <w:rFonts w:ascii="Arial" w:hAnsi="Arial" w:cs="Arial"/>
        </w:rPr>
        <w:t>formally adopt the final version o</w:t>
      </w:r>
      <w:r w:rsidR="00C55411" w:rsidRPr="00C55411">
        <w:rPr>
          <w:rFonts w:ascii="Arial" w:hAnsi="Arial" w:cs="Arial"/>
        </w:rPr>
        <w:t>f the proposed Statement of Gambling Policy</w:t>
      </w:r>
      <w:r w:rsidR="00C55411" w:rsidRPr="00A666B0">
        <w:rPr>
          <w:rFonts w:ascii="Arial" w:hAnsi="Arial" w:cs="Arial"/>
        </w:rPr>
        <w:t>, which if adopted would come into force on t</w:t>
      </w:r>
      <w:r w:rsidR="00C55411" w:rsidRPr="00C55411">
        <w:rPr>
          <w:rFonts w:ascii="Arial" w:hAnsi="Arial" w:cs="Arial"/>
        </w:rPr>
        <w:t>he 31</w:t>
      </w:r>
      <w:r w:rsidR="00C55411" w:rsidRPr="00A666B0">
        <w:rPr>
          <w:rFonts w:ascii="Arial" w:hAnsi="Arial" w:cs="Arial"/>
          <w:vertAlign w:val="superscript"/>
        </w:rPr>
        <w:t>st</w:t>
      </w:r>
      <w:r w:rsidR="00C55411" w:rsidRPr="00C55411">
        <w:rPr>
          <w:rFonts w:ascii="Arial" w:hAnsi="Arial" w:cs="Arial"/>
        </w:rPr>
        <w:t xml:space="preserve"> </w:t>
      </w:r>
      <w:r w:rsidR="00C55411">
        <w:rPr>
          <w:rFonts w:ascii="Arial" w:hAnsi="Arial" w:cs="Arial"/>
        </w:rPr>
        <w:t xml:space="preserve">January 2019. </w:t>
      </w:r>
    </w:p>
    <w:p w:rsidR="002F5C5E" w:rsidRPr="009C1143" w:rsidRDefault="002F5C5E" w:rsidP="003200A7">
      <w:pPr>
        <w:ind w:left="284" w:hanging="360"/>
        <w:rPr>
          <w:i/>
          <w:color w:val="2E74B5"/>
          <w:szCs w:val="22"/>
        </w:rPr>
      </w:pPr>
    </w:p>
    <w:p w:rsidR="002F5C5E" w:rsidRPr="009C1143" w:rsidRDefault="002F5C5E" w:rsidP="002F5C5E">
      <w:pPr>
        <w:rPr>
          <w:i/>
          <w:color w:val="2E74B5"/>
          <w:szCs w:val="22"/>
        </w:rPr>
      </w:pPr>
    </w:p>
    <w:p w:rsidR="002F5C5E" w:rsidRPr="009C1143" w:rsidRDefault="002F5C5E" w:rsidP="002F5C5E">
      <w:pPr>
        <w:rPr>
          <w:sz w:val="16"/>
          <w:szCs w:val="16"/>
        </w:rPr>
      </w:pPr>
    </w:p>
    <w:p w:rsidR="002F5C5E" w:rsidRDefault="002F5C5E" w:rsidP="000B5251">
      <w:pPr>
        <w:keepNext/>
        <w:numPr>
          <w:ilvl w:val="0"/>
          <w:numId w:val="8"/>
        </w:numPr>
        <w:outlineLvl w:val="0"/>
        <w:rPr>
          <w:b/>
          <w:szCs w:val="22"/>
        </w:rPr>
      </w:pPr>
      <w:r w:rsidRPr="009C1143">
        <w:rPr>
          <w:b/>
          <w:szCs w:val="22"/>
        </w:rPr>
        <w:t xml:space="preserve">EXECUTIVE SUMMARY </w:t>
      </w:r>
    </w:p>
    <w:p w:rsidR="00EA4E62" w:rsidRDefault="00EA4E62" w:rsidP="00EA4E62">
      <w:pPr>
        <w:keepNext/>
        <w:ind w:left="360"/>
        <w:outlineLvl w:val="0"/>
        <w:rPr>
          <w:b/>
          <w:szCs w:val="22"/>
        </w:rPr>
      </w:pPr>
    </w:p>
    <w:p w:rsidR="00EF61CB" w:rsidRDefault="00EF61CB" w:rsidP="00EA4E62">
      <w:pPr>
        <w:pStyle w:val="Header"/>
        <w:numPr>
          <w:ilvl w:val="1"/>
          <w:numId w:val="8"/>
        </w:numPr>
        <w:ind w:left="426"/>
        <w:jc w:val="both"/>
      </w:pPr>
      <w:r>
        <w:t xml:space="preserve">A short report </w:t>
      </w:r>
      <w:r w:rsidR="00C55411">
        <w:t xml:space="preserve">went before the General Licensing </w:t>
      </w:r>
      <w:r>
        <w:t>Committee in September 2018 setting out the legal requirement to review the Gambling Policy</w:t>
      </w:r>
      <w:r w:rsidR="00C55411">
        <w:t xml:space="preserve">.  </w:t>
      </w:r>
      <w:r>
        <w:t xml:space="preserve"> </w:t>
      </w:r>
      <w:r w:rsidR="00C55411">
        <w:t>A</w:t>
      </w:r>
      <w:r>
        <w:t xml:space="preserve"> draft policy was considered and an agreed period of consultation including a list of consultees was set. The period of consultation was the 13</w:t>
      </w:r>
      <w:r w:rsidRPr="00F10522">
        <w:rPr>
          <w:vertAlign w:val="superscript"/>
        </w:rPr>
        <w:t>th</w:t>
      </w:r>
      <w:r>
        <w:t xml:space="preserve"> September 2018 till the 8</w:t>
      </w:r>
      <w:r w:rsidRPr="00F10522">
        <w:rPr>
          <w:vertAlign w:val="superscript"/>
        </w:rPr>
        <w:t>th</w:t>
      </w:r>
      <w:r>
        <w:t xml:space="preserve"> November 2018.</w:t>
      </w:r>
    </w:p>
    <w:p w:rsidR="00EF61CB" w:rsidRDefault="00EF61CB" w:rsidP="00EA4E62">
      <w:pPr>
        <w:pStyle w:val="Header"/>
        <w:ind w:left="426"/>
        <w:jc w:val="both"/>
      </w:pPr>
    </w:p>
    <w:p w:rsidR="00EF61CB" w:rsidRDefault="00EF61CB" w:rsidP="00EA4E62">
      <w:pPr>
        <w:pStyle w:val="Header"/>
        <w:numPr>
          <w:ilvl w:val="1"/>
          <w:numId w:val="8"/>
        </w:numPr>
        <w:ind w:left="426"/>
        <w:jc w:val="both"/>
      </w:pPr>
      <w:r>
        <w:t xml:space="preserve">A formal response was received by Lancashire County Councils Public Health Team who appear to have a pool of conditions or recommendations that are sent to all Local Authorities in the region. These recommendation will be particularly relevant to areas of intense outlet density especially where there is high levels of deprivation. </w:t>
      </w:r>
    </w:p>
    <w:p w:rsidR="00EF61CB" w:rsidRDefault="00EF61CB" w:rsidP="00EA4E62">
      <w:pPr>
        <w:pStyle w:val="Header"/>
        <w:ind w:left="426"/>
        <w:jc w:val="both"/>
      </w:pPr>
    </w:p>
    <w:p w:rsidR="00EF61CB" w:rsidRDefault="00EF61CB" w:rsidP="00EA4E62">
      <w:pPr>
        <w:pStyle w:val="Header"/>
        <w:numPr>
          <w:ilvl w:val="1"/>
          <w:numId w:val="8"/>
        </w:numPr>
        <w:ind w:left="426"/>
        <w:jc w:val="both"/>
      </w:pPr>
      <w:r>
        <w:t xml:space="preserve">South Ribble does not fall into either category and is reported as being one of the lower risk areas in Lancashire, with this in mind the some of the recommendations maybe less relevant than others.  </w:t>
      </w:r>
    </w:p>
    <w:p w:rsidR="00EF61CB" w:rsidRDefault="00EF61CB" w:rsidP="00EA4E62">
      <w:pPr>
        <w:pStyle w:val="ListParagraph"/>
        <w:ind w:left="360"/>
      </w:pPr>
    </w:p>
    <w:p w:rsidR="00EF61CB" w:rsidRDefault="00EF61CB" w:rsidP="00EA4E62">
      <w:pPr>
        <w:pStyle w:val="Header"/>
        <w:ind w:left="720"/>
        <w:jc w:val="both"/>
      </w:pPr>
    </w:p>
    <w:p w:rsidR="000B5251" w:rsidRPr="009C1143" w:rsidRDefault="000B5251" w:rsidP="000B5251">
      <w:pPr>
        <w:keepNext/>
        <w:ind w:left="360"/>
        <w:outlineLvl w:val="0"/>
        <w:rPr>
          <w:b/>
          <w:szCs w:val="22"/>
        </w:rPr>
      </w:pPr>
    </w:p>
    <w:p w:rsidR="002F5C5E" w:rsidRPr="009C1143" w:rsidRDefault="002F5C5E" w:rsidP="002F5C5E">
      <w:pPr>
        <w:rPr>
          <w:szCs w:val="22"/>
        </w:rPr>
      </w:pPr>
    </w:p>
    <w:p w:rsidR="002F5C5E" w:rsidRDefault="002F5C5E" w:rsidP="00525728">
      <w:pPr>
        <w:keepNext/>
        <w:numPr>
          <w:ilvl w:val="0"/>
          <w:numId w:val="8"/>
        </w:numPr>
        <w:outlineLvl w:val="0"/>
        <w:rPr>
          <w:b/>
          <w:szCs w:val="22"/>
        </w:rPr>
      </w:pPr>
      <w:r w:rsidRPr="009C1143">
        <w:rPr>
          <w:b/>
          <w:szCs w:val="22"/>
        </w:rPr>
        <w:lastRenderedPageBreak/>
        <w:t>CORPORATE PRIORITIES</w:t>
      </w:r>
    </w:p>
    <w:p w:rsidR="00772B9C" w:rsidRDefault="00772B9C" w:rsidP="00772B9C">
      <w:pPr>
        <w:keepNext/>
        <w:outlineLvl w:val="0"/>
        <w:rPr>
          <w:b/>
          <w:szCs w:val="22"/>
        </w:rPr>
      </w:pPr>
    </w:p>
    <w:p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r w:rsidRPr="009C1143">
        <w:rPr>
          <w:b/>
          <w:szCs w:val="22"/>
        </w:rPr>
        <w:t xml:space="preserve"> </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8770BE" w:rsidRDefault="00EA4E62" w:rsidP="000E4458">
            <w:pPr>
              <w:rPr>
                <w:szCs w:val="22"/>
                <w:highlight w:val="yellow"/>
              </w:rPr>
            </w:pPr>
            <w:r>
              <w:rPr>
                <w:szCs w:val="22"/>
                <w:highlight w:val="yellow"/>
              </w:rPr>
              <w:t>x</w:t>
            </w: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2F5C5E" w:rsidRDefault="002F5C5E" w:rsidP="002F5C5E">
      <w:pPr>
        <w:rPr>
          <w:szCs w:val="22"/>
        </w:rPr>
      </w:pPr>
    </w:p>
    <w:p w:rsidR="00772B9C" w:rsidRDefault="00772B9C" w:rsidP="002F5C5E">
      <w:pPr>
        <w:rPr>
          <w:szCs w:val="22"/>
        </w:rPr>
      </w:pPr>
    </w:p>
    <w:p w:rsidR="00772B9C" w:rsidRPr="009C1143" w:rsidRDefault="00772B9C" w:rsidP="002F5C5E">
      <w:pPr>
        <w:rPr>
          <w:szCs w:val="22"/>
        </w:rPr>
      </w:pPr>
    </w:p>
    <w:p w:rsidR="002F5C5E" w:rsidRPr="00EA4E62" w:rsidRDefault="002F5C5E" w:rsidP="00EF61CB">
      <w:pPr>
        <w:pStyle w:val="ListParagraph"/>
        <w:numPr>
          <w:ilvl w:val="0"/>
          <w:numId w:val="8"/>
        </w:numPr>
        <w:rPr>
          <w:rFonts w:ascii="Arial" w:hAnsi="Arial" w:cs="Arial"/>
          <w:b/>
        </w:rPr>
      </w:pPr>
      <w:r w:rsidRPr="00EA4E62">
        <w:rPr>
          <w:rFonts w:ascii="Arial" w:hAnsi="Arial" w:cs="Arial"/>
          <w:b/>
        </w:rPr>
        <w:t>BACKGROUND TO THE REPORT</w:t>
      </w:r>
    </w:p>
    <w:p w:rsidR="00EF61CB" w:rsidRPr="00EF61CB" w:rsidRDefault="00EF61CB" w:rsidP="0046068E">
      <w:pPr>
        <w:pStyle w:val="ListParagraph"/>
        <w:ind w:left="360"/>
        <w:rPr>
          <w:rFonts w:cs="Arial"/>
          <w:b/>
        </w:rPr>
      </w:pPr>
    </w:p>
    <w:p w:rsidR="00EF61CB" w:rsidRPr="00EA4E62" w:rsidRDefault="00EA4E62" w:rsidP="003200A7">
      <w:pPr>
        <w:ind w:left="426" w:hanging="426"/>
        <w:rPr>
          <w:rFonts w:cs="Arial"/>
        </w:rPr>
      </w:pPr>
      <w:r>
        <w:rPr>
          <w:rFonts w:cs="Arial"/>
        </w:rPr>
        <w:t>5</w:t>
      </w:r>
      <w:r w:rsidR="0046068E">
        <w:rPr>
          <w:rFonts w:cs="Arial"/>
        </w:rPr>
        <w:t>.1</w:t>
      </w:r>
      <w:r w:rsidR="00EF61CB" w:rsidRPr="0046068E">
        <w:rPr>
          <w:rFonts w:cs="Arial"/>
        </w:rPr>
        <w:t xml:space="preserve"> Defining geographic areas of vulnerability and risk, there are 2 wards in the South Ribble area that stand out in relation to deprivation.  They are Broadfield which is ranked as the 188</w:t>
      </w:r>
      <w:r w:rsidR="00EF61CB" w:rsidRPr="0046068E">
        <w:rPr>
          <w:rFonts w:cs="Arial"/>
          <w:vertAlign w:val="superscript"/>
        </w:rPr>
        <w:t>th</w:t>
      </w:r>
      <w:r w:rsidR="003200A7">
        <w:rPr>
          <w:rFonts w:cs="Arial"/>
        </w:rPr>
        <w:t xml:space="preserve"> most deprived ward in the C</w:t>
      </w:r>
      <w:r w:rsidR="00EF61CB" w:rsidRPr="0046068E">
        <w:rPr>
          <w:rFonts w:cs="Arial"/>
        </w:rPr>
        <w:t>ounty and Seven Stars which is 1469</w:t>
      </w:r>
      <w:r w:rsidR="00EF61CB" w:rsidRPr="0046068E">
        <w:rPr>
          <w:rFonts w:cs="Arial"/>
          <w:vertAlign w:val="superscript"/>
        </w:rPr>
        <w:t>th</w:t>
      </w:r>
      <w:r w:rsidR="00EF61CB" w:rsidRPr="0046068E">
        <w:rPr>
          <w:rFonts w:cs="Arial"/>
        </w:rPr>
        <w:t>. We also have very affluent wards which are at the other end of the spectrum such as Howick and Priory which is ranked 7503</w:t>
      </w:r>
      <w:r w:rsidR="00EF61CB" w:rsidRPr="0046068E">
        <w:rPr>
          <w:rFonts w:cs="Arial"/>
          <w:vertAlign w:val="superscript"/>
        </w:rPr>
        <w:t>rd</w:t>
      </w:r>
      <w:r w:rsidR="00EF61CB" w:rsidRPr="0046068E">
        <w:rPr>
          <w:rFonts w:cs="Arial"/>
        </w:rPr>
        <w:t xml:space="preserve"> in the region. The recommendation is to identify areas of vulnerability so a map has been created highlighting these two wards which also pin points the locations of existing Gambling Premises. </w:t>
      </w:r>
    </w:p>
    <w:p w:rsidR="00EF61CB" w:rsidRPr="00EA4E62" w:rsidRDefault="00EF61CB" w:rsidP="00EA4E62">
      <w:pPr>
        <w:rPr>
          <w:rFonts w:cs="Arial"/>
        </w:rPr>
      </w:pPr>
    </w:p>
    <w:p w:rsidR="00EF61CB" w:rsidRDefault="00EA4E62" w:rsidP="00EA4E62">
      <w:pPr>
        <w:rPr>
          <w:rFonts w:cs="Arial"/>
        </w:rPr>
      </w:pPr>
      <w:r>
        <w:rPr>
          <w:rFonts w:cs="Arial"/>
        </w:rPr>
        <w:t xml:space="preserve">5.2 </w:t>
      </w:r>
      <w:r w:rsidR="00EF61CB" w:rsidRPr="00EA4E62">
        <w:rPr>
          <w:rFonts w:cs="Arial"/>
          <w:b/>
        </w:rPr>
        <w:t>Provide guidance on local risk assessments</w:t>
      </w:r>
      <w:r w:rsidR="00EF61CB" w:rsidRPr="00EA4E62">
        <w:rPr>
          <w:rFonts w:cs="Arial"/>
        </w:rPr>
        <w:t xml:space="preserve">, </w:t>
      </w:r>
    </w:p>
    <w:p w:rsidR="00EA4E62" w:rsidRPr="00EA4E62" w:rsidRDefault="00EA4E62" w:rsidP="00EA4E62">
      <w:pPr>
        <w:rPr>
          <w:rFonts w:cs="Arial"/>
        </w:rPr>
      </w:pPr>
    </w:p>
    <w:p w:rsidR="00EF61CB" w:rsidRPr="00B55755" w:rsidRDefault="00EF61CB" w:rsidP="00EF61CB">
      <w:pPr>
        <w:ind w:left="426"/>
        <w:rPr>
          <w:rFonts w:cs="Arial"/>
          <w:szCs w:val="22"/>
        </w:rPr>
      </w:pPr>
      <w:r>
        <w:rPr>
          <w:rFonts w:cs="Arial"/>
          <w:szCs w:val="22"/>
        </w:rPr>
        <w:t>This issue was raised by a Committee member in the September 2018 meeting where a request was made to possibly look into providing an example or template risk assessment. Further enquires revealed that not much was available publically but the Gambling Commission did have a guidance document on what to include in a risk assessment. The salient parts of that guidance have been incorporated into the draft policy and can be found at paragraph 3.2.</w:t>
      </w:r>
      <w:r w:rsidR="003200A7">
        <w:rPr>
          <w:rFonts w:cs="Arial"/>
          <w:szCs w:val="22"/>
        </w:rPr>
        <w:t>of the draft policy.</w:t>
      </w:r>
      <w:r>
        <w:rPr>
          <w:rFonts w:cs="Arial"/>
          <w:szCs w:val="22"/>
        </w:rPr>
        <w:t xml:space="preserve"> The items included in the policy already largely replicate what Public Health are suggesting. Advice has been sought from the Gambling Commission who have directed us to the January 2018 Bulletin, looking at this document 2 local authorities are highlighted, York and West Dunbartonshire.  Both policies do not have an example risk assessment but they do</w:t>
      </w:r>
      <w:r w:rsidRPr="00EF61CB">
        <w:rPr>
          <w:rFonts w:cs="Arial"/>
          <w:szCs w:val="22"/>
        </w:rPr>
        <w:t xml:space="preserve"> </w:t>
      </w:r>
      <w:r>
        <w:rPr>
          <w:rFonts w:cs="Arial"/>
          <w:szCs w:val="22"/>
        </w:rPr>
        <w:t>have a list of points they consider necessary when formulating risk</w:t>
      </w:r>
      <w:r w:rsidR="003200A7">
        <w:rPr>
          <w:rFonts w:cs="Arial"/>
          <w:szCs w:val="22"/>
        </w:rPr>
        <w:t xml:space="preserve"> assessments, our draft policy is sufficient with regards to the advice on formulating local area risk assessments.</w:t>
      </w:r>
    </w:p>
    <w:p w:rsidR="00EF61CB" w:rsidRPr="00B55755" w:rsidRDefault="00EF61CB" w:rsidP="00EF61CB">
      <w:pPr>
        <w:ind w:left="426" w:hanging="426"/>
        <w:rPr>
          <w:rFonts w:cs="Arial"/>
          <w:szCs w:val="22"/>
        </w:rPr>
      </w:pPr>
    </w:p>
    <w:p w:rsidR="00EF61CB" w:rsidRDefault="00EA4E62" w:rsidP="00EF61CB">
      <w:pPr>
        <w:ind w:left="426" w:hanging="426"/>
        <w:rPr>
          <w:rFonts w:cs="Arial"/>
          <w:szCs w:val="22"/>
        </w:rPr>
      </w:pPr>
      <w:r>
        <w:rPr>
          <w:rFonts w:cs="Arial"/>
          <w:szCs w:val="22"/>
        </w:rPr>
        <w:t>5</w:t>
      </w:r>
      <w:r w:rsidR="00EF61CB">
        <w:rPr>
          <w:rFonts w:cs="Arial"/>
          <w:szCs w:val="22"/>
        </w:rPr>
        <w:t>.3 The third point Public Health raise is to possibly publicise pathways to treatment. The small number of premises and overall prosperity in the Borough will mean</w:t>
      </w:r>
      <w:r w:rsidR="00E16ABE">
        <w:rPr>
          <w:rFonts w:cs="Arial"/>
          <w:szCs w:val="22"/>
        </w:rPr>
        <w:t xml:space="preserve"> the number of</w:t>
      </w:r>
      <w:r w:rsidR="00EF61CB">
        <w:rPr>
          <w:rFonts w:cs="Arial"/>
          <w:szCs w:val="22"/>
        </w:rPr>
        <w:t xml:space="preserve"> problem gamblers will be modest compared with bigger cities and deprived towns. The beacon trust who are the main service provider for Gamcare have been contacted and provided us with some suggested wording for the policy, which is as follows:-</w:t>
      </w:r>
    </w:p>
    <w:p w:rsidR="00EF61CB" w:rsidRDefault="00EF61CB" w:rsidP="00EF61CB">
      <w:pPr>
        <w:ind w:left="426"/>
        <w:rPr>
          <w:rFonts w:cs="Arial"/>
          <w:szCs w:val="22"/>
        </w:rPr>
      </w:pPr>
    </w:p>
    <w:p w:rsidR="00EF61CB" w:rsidRDefault="00EF61CB" w:rsidP="00EF61CB">
      <w:pPr>
        <w:ind w:left="426"/>
        <w:rPr>
          <w:rFonts w:ascii="Calibri" w:hAnsi="Calibri"/>
          <w:color w:val="000000"/>
        </w:rPr>
      </w:pPr>
      <w:r>
        <w:rPr>
          <w:color w:val="000000"/>
        </w:rPr>
        <w:t xml:space="preserve">“Operating staff (particularly those involved with customer interaction and self exclusion) should be aware of National and Local Problematic Gambling support systems available and individuals identified as being in need of support should be made aware of the National Problem Gambling Helpline. All operators should be aware of and publicise the local , confidential FREE and immediate service offered through local treatment provider THE BEACON COUNSELLING TRUST , who deliver services across the North West and whose </w:t>
      </w:r>
      <w:r>
        <w:rPr>
          <w:color w:val="000000"/>
        </w:rPr>
        <w:lastRenderedPageBreak/>
        <w:t xml:space="preserve">closet location for service provision is Preston </w:t>
      </w:r>
      <w:hyperlink r:id="rId9" w:history="1">
        <w:r>
          <w:rPr>
            <w:rStyle w:val="Hyperlink"/>
          </w:rPr>
          <w:t>www.beaconcounsellingtrust.co.uk</w:t>
        </w:r>
      </w:hyperlink>
      <w:r>
        <w:rPr>
          <w:color w:val="000000"/>
        </w:rPr>
        <w:t xml:space="preserve"> telephone 0151 226 0696  who will arrange a local appointment.”</w:t>
      </w:r>
    </w:p>
    <w:p w:rsidR="00EF61CB" w:rsidRPr="00F4022F" w:rsidRDefault="00EF61CB" w:rsidP="00EF61CB">
      <w:pPr>
        <w:rPr>
          <w:rFonts w:cs="Arial"/>
          <w:szCs w:val="22"/>
        </w:rPr>
      </w:pPr>
    </w:p>
    <w:p w:rsidR="00EF61CB" w:rsidRPr="00EF61CB" w:rsidRDefault="00EF61CB" w:rsidP="00EA4E62">
      <w:pPr>
        <w:pStyle w:val="ListParagraph"/>
        <w:ind w:left="360"/>
        <w:rPr>
          <w:b/>
        </w:rPr>
      </w:pPr>
    </w:p>
    <w:p w:rsidR="002F5C5E" w:rsidRPr="00792A2B" w:rsidRDefault="002F5C5E" w:rsidP="002F5C5E">
      <w:pPr>
        <w:rPr>
          <w:b/>
          <w:szCs w:val="22"/>
        </w:rPr>
      </w:pPr>
    </w:p>
    <w:p w:rsidR="001938D6" w:rsidRPr="00792A2B" w:rsidRDefault="00EB2D32" w:rsidP="002F5C5E">
      <w:pPr>
        <w:rPr>
          <w:b/>
          <w:szCs w:val="22"/>
        </w:rPr>
      </w:pPr>
      <w:r w:rsidRPr="00792A2B">
        <w:rPr>
          <w:b/>
          <w:szCs w:val="22"/>
        </w:rPr>
        <w:t>7</w:t>
      </w:r>
      <w:r w:rsidR="002F5C5E" w:rsidRPr="00792A2B">
        <w:rPr>
          <w:b/>
          <w:szCs w:val="22"/>
        </w:rPr>
        <w:t xml:space="preserve">.   </w:t>
      </w:r>
      <w:r w:rsidR="001938D6" w:rsidRPr="00792A2B">
        <w:rPr>
          <w:b/>
          <w:szCs w:val="22"/>
        </w:rPr>
        <w:t xml:space="preserve">CONSULTATION CARRIED OUT AND OUTCOME OF CONSULTATION </w:t>
      </w:r>
    </w:p>
    <w:p w:rsidR="001938D6" w:rsidRPr="00792A2B" w:rsidRDefault="001938D6" w:rsidP="002F5C5E">
      <w:pPr>
        <w:rPr>
          <w:b/>
          <w:szCs w:val="22"/>
        </w:rPr>
      </w:pPr>
    </w:p>
    <w:p w:rsidR="00F43895" w:rsidRDefault="001938D6" w:rsidP="003200A7">
      <w:pPr>
        <w:ind w:left="567" w:hanging="567"/>
        <w:rPr>
          <w:szCs w:val="22"/>
        </w:rPr>
      </w:pPr>
      <w:r w:rsidRPr="00792A2B">
        <w:rPr>
          <w:b/>
          <w:szCs w:val="22"/>
        </w:rPr>
        <w:t>7.1</w:t>
      </w:r>
      <w:r w:rsidR="00F43895" w:rsidRPr="00792A2B">
        <w:rPr>
          <w:b/>
          <w:szCs w:val="22"/>
        </w:rPr>
        <w:t xml:space="preserve">   </w:t>
      </w:r>
      <w:r w:rsidR="00FB3C05">
        <w:rPr>
          <w:szCs w:val="22"/>
        </w:rPr>
        <w:t>A broad consultation took place between the13th September 2018 and the 8</w:t>
      </w:r>
      <w:r w:rsidR="00FB3C05" w:rsidRPr="00FB3C05">
        <w:rPr>
          <w:szCs w:val="22"/>
          <w:vertAlign w:val="superscript"/>
        </w:rPr>
        <w:t>th</w:t>
      </w:r>
      <w:r w:rsidR="00FB3C05">
        <w:rPr>
          <w:szCs w:val="22"/>
        </w:rPr>
        <w:t xml:space="preserve"> November    2018 a list of consultees is found on page 37 of the draft policy. One response was received by Public Health which was duly considered by the Licensing Committee on the 20</w:t>
      </w:r>
      <w:r w:rsidR="00FB3C05" w:rsidRPr="00FB3C05">
        <w:rPr>
          <w:szCs w:val="22"/>
          <w:vertAlign w:val="superscript"/>
        </w:rPr>
        <w:t>th</w:t>
      </w:r>
      <w:r w:rsidR="00FB3C05">
        <w:rPr>
          <w:szCs w:val="22"/>
        </w:rPr>
        <w:t xml:space="preserve"> November 2018 and have determined to include the pathway to treatment </w:t>
      </w:r>
      <w:r w:rsidR="00FB38E3">
        <w:rPr>
          <w:szCs w:val="22"/>
        </w:rPr>
        <w:t>statement</w:t>
      </w:r>
      <w:r w:rsidR="00FB3C05">
        <w:rPr>
          <w:szCs w:val="22"/>
        </w:rPr>
        <w:t xml:space="preserve"> found at paragraph 5.3 above and the Local Area Profile map </w:t>
      </w:r>
      <w:r w:rsidR="00E16ABE">
        <w:rPr>
          <w:szCs w:val="22"/>
        </w:rPr>
        <w:t>discussed in paragraph 5.2 of this report.</w:t>
      </w:r>
    </w:p>
    <w:p w:rsidR="00FB38E3" w:rsidRPr="00792A2B" w:rsidRDefault="00FB38E3" w:rsidP="002F5C5E">
      <w:pPr>
        <w:rPr>
          <w:rFonts w:cs="Arial"/>
          <w:i/>
          <w:color w:val="2E74B5"/>
        </w:rPr>
      </w:pPr>
    </w:p>
    <w:p w:rsidR="00F43895" w:rsidRPr="00792A2B" w:rsidRDefault="00F43895" w:rsidP="00F43895">
      <w:pPr>
        <w:rPr>
          <w:b/>
          <w:szCs w:val="22"/>
        </w:rPr>
      </w:pPr>
      <w:r w:rsidRPr="00792A2B">
        <w:rPr>
          <w:b/>
          <w:szCs w:val="22"/>
        </w:rPr>
        <w:t xml:space="preserve">8.    </w:t>
      </w:r>
      <w:r w:rsidRPr="00792A2B">
        <w:rPr>
          <w:rFonts w:cs="Arial"/>
          <w:b/>
          <w:caps/>
        </w:rPr>
        <w:t>Financial implications</w:t>
      </w:r>
    </w:p>
    <w:p w:rsidR="00F43895" w:rsidRPr="00792A2B" w:rsidRDefault="00F43895" w:rsidP="00F43895">
      <w:pPr>
        <w:ind w:left="567"/>
        <w:rPr>
          <w:rFonts w:cs="Arial"/>
          <w:b/>
          <w:caps/>
        </w:rPr>
      </w:pPr>
    </w:p>
    <w:p w:rsidR="000874EA" w:rsidRDefault="00F43895" w:rsidP="000874EA">
      <w:pPr>
        <w:rPr>
          <w:rFonts w:cs="Arial"/>
          <w:i/>
          <w:color w:val="2E74B5"/>
        </w:rPr>
      </w:pPr>
      <w:r w:rsidRPr="00792A2B">
        <w:rPr>
          <w:rFonts w:cs="Arial"/>
          <w:i/>
          <w:color w:val="2E74B5"/>
        </w:rPr>
        <w:t xml:space="preserve"> </w:t>
      </w:r>
    </w:p>
    <w:p w:rsidR="000874EA" w:rsidRPr="00F4022F" w:rsidRDefault="000874EA" w:rsidP="000874EA">
      <w:pPr>
        <w:rPr>
          <w:rFonts w:cs="Arial"/>
          <w:b/>
          <w:caps/>
          <w:szCs w:val="22"/>
        </w:rPr>
      </w:pPr>
      <w:r>
        <w:rPr>
          <w:rFonts w:cs="Arial"/>
          <w:szCs w:val="22"/>
        </w:rPr>
        <w:t xml:space="preserve">8.1 </w:t>
      </w:r>
      <w:r w:rsidRPr="00D44486">
        <w:rPr>
          <w:rFonts w:cs="Arial"/>
          <w:szCs w:val="22"/>
        </w:rPr>
        <w:t>There are no financial implications arising from this report</w:t>
      </w:r>
      <w:r>
        <w:rPr>
          <w:rFonts w:cs="Arial"/>
          <w:b/>
          <w:szCs w:val="22"/>
        </w:rPr>
        <w:t>.</w:t>
      </w:r>
    </w:p>
    <w:p w:rsidR="00F43895" w:rsidRPr="00792A2B" w:rsidRDefault="00F43895" w:rsidP="000874EA">
      <w:pPr>
        <w:ind w:left="360"/>
        <w:rPr>
          <w:rFonts w:cs="Arial"/>
          <w:caps/>
          <w:color w:val="2E74B5"/>
        </w:rPr>
      </w:pPr>
    </w:p>
    <w:p w:rsidR="00F43895" w:rsidRPr="00792A2B" w:rsidRDefault="00F43895" w:rsidP="00F43895">
      <w:pPr>
        <w:rPr>
          <w:rFonts w:cs="Arial"/>
          <w:b/>
          <w:color w:val="2E74B5"/>
        </w:rPr>
      </w:pPr>
    </w:p>
    <w:p w:rsidR="00F43895" w:rsidRPr="00792A2B" w:rsidRDefault="00F43895" w:rsidP="00F43895">
      <w:pPr>
        <w:rPr>
          <w:rFonts w:cs="Arial"/>
          <w:b/>
          <w:caps/>
        </w:rPr>
      </w:pPr>
      <w:r w:rsidRPr="00792A2B">
        <w:rPr>
          <w:rFonts w:cs="Arial"/>
          <w:b/>
          <w:caps/>
        </w:rPr>
        <w:t>9.    LEGAL IMPLICATIONS</w:t>
      </w:r>
    </w:p>
    <w:p w:rsidR="00F43895" w:rsidRPr="00792A2B" w:rsidRDefault="00F43895" w:rsidP="00F43895">
      <w:pPr>
        <w:rPr>
          <w:rFonts w:cs="Arial"/>
          <w:b/>
          <w:caps/>
        </w:rPr>
      </w:pPr>
    </w:p>
    <w:p w:rsidR="000874EA" w:rsidRDefault="000874EA" w:rsidP="000874EA">
      <w:pPr>
        <w:ind w:left="426" w:hanging="426"/>
        <w:rPr>
          <w:rFonts w:cs="Arial"/>
          <w:b/>
          <w:caps/>
          <w:szCs w:val="22"/>
        </w:rPr>
      </w:pPr>
      <w:r w:rsidRPr="000874EA">
        <w:rPr>
          <w:rFonts w:cs="Arial"/>
          <w:caps/>
        </w:rPr>
        <w:t>9.1</w:t>
      </w:r>
      <w:r w:rsidR="00F43895" w:rsidRPr="000874EA">
        <w:rPr>
          <w:rFonts w:cs="Arial"/>
          <w:b/>
          <w:caps/>
        </w:rPr>
        <w:t xml:space="preserve"> </w:t>
      </w:r>
      <w:r>
        <w:rPr>
          <w:rFonts w:cs="Arial"/>
          <w:szCs w:val="22"/>
        </w:rPr>
        <w:t xml:space="preserve">S349(1) of the Gambling Act 2005 requires the Council to prepare and publish a statement of principles every 3 years.  The previous policy expires on </w:t>
      </w:r>
      <w:r>
        <w:rPr>
          <w:rFonts w:cs="Arial"/>
          <w:b/>
          <w:szCs w:val="22"/>
        </w:rPr>
        <w:t>31</w:t>
      </w:r>
      <w:r w:rsidRPr="00A852B1">
        <w:rPr>
          <w:rFonts w:cs="Arial"/>
          <w:b/>
          <w:szCs w:val="22"/>
          <w:vertAlign w:val="superscript"/>
        </w:rPr>
        <w:t>st</w:t>
      </w:r>
      <w:r>
        <w:rPr>
          <w:rFonts w:cs="Arial"/>
          <w:b/>
          <w:szCs w:val="22"/>
        </w:rPr>
        <w:t xml:space="preserve"> January 2019</w:t>
      </w:r>
      <w:r>
        <w:rPr>
          <w:rFonts w:cs="Arial"/>
          <w:szCs w:val="22"/>
        </w:rPr>
        <w:t xml:space="preserve">.  The draft policy once approved by Council will therefore become effective on </w:t>
      </w:r>
      <w:r>
        <w:rPr>
          <w:rFonts w:cs="Arial"/>
          <w:b/>
          <w:szCs w:val="22"/>
        </w:rPr>
        <w:t>31</w:t>
      </w:r>
      <w:r w:rsidRPr="00A852B1">
        <w:rPr>
          <w:rFonts w:cs="Arial"/>
          <w:b/>
          <w:szCs w:val="22"/>
          <w:vertAlign w:val="superscript"/>
        </w:rPr>
        <w:t>st</w:t>
      </w:r>
      <w:r>
        <w:rPr>
          <w:rFonts w:cs="Arial"/>
          <w:b/>
          <w:szCs w:val="22"/>
        </w:rPr>
        <w:t xml:space="preserve"> January 2019</w:t>
      </w:r>
      <w:r w:rsidRPr="00396BAF">
        <w:rPr>
          <w:rFonts w:cs="Arial"/>
          <w:b/>
          <w:szCs w:val="22"/>
        </w:rPr>
        <w:t>.</w:t>
      </w:r>
      <w:r>
        <w:rPr>
          <w:rFonts w:cs="Arial"/>
          <w:szCs w:val="22"/>
        </w:rPr>
        <w:t xml:space="preserve">  </w:t>
      </w:r>
    </w:p>
    <w:p w:rsidR="000874EA" w:rsidRDefault="000874EA" w:rsidP="000874EA">
      <w:pPr>
        <w:ind w:left="426"/>
        <w:rPr>
          <w:rFonts w:cs="Arial"/>
          <w:caps/>
          <w:szCs w:val="22"/>
        </w:rPr>
      </w:pPr>
    </w:p>
    <w:p w:rsidR="000874EA" w:rsidRDefault="000874EA" w:rsidP="000874EA">
      <w:pPr>
        <w:ind w:left="426"/>
        <w:rPr>
          <w:color w:val="000000"/>
        </w:rPr>
      </w:pPr>
      <w:r>
        <w:rPr>
          <w:color w:val="000000"/>
        </w:rPr>
        <w:t>Before a statement comes into effect, the Gambling Act 2005 (Licensing Authority Policy Statement) (England and Wales) Regulations 2006 requires licensing authorities to publish a notice of their intention to publish a statement or revision.  The notice must comply with the following points:-</w:t>
      </w:r>
    </w:p>
    <w:p w:rsidR="000874EA" w:rsidRDefault="000874EA" w:rsidP="000874EA">
      <w:pPr>
        <w:ind w:left="426"/>
        <w:rPr>
          <w:color w:val="000000"/>
        </w:rPr>
      </w:pPr>
    </w:p>
    <w:p w:rsidR="000874EA" w:rsidRDefault="000874EA" w:rsidP="000874EA">
      <w:pPr>
        <w:pStyle w:val="ListParagraph"/>
        <w:numPr>
          <w:ilvl w:val="0"/>
          <w:numId w:val="17"/>
        </w:numPr>
        <w:rPr>
          <w:rFonts w:cs="Arial"/>
          <w:color w:val="000000"/>
        </w:rPr>
      </w:pPr>
      <w:r w:rsidRPr="00396BAF">
        <w:rPr>
          <w:rFonts w:ascii="Arial" w:hAnsi="Arial" w:cs="Arial"/>
          <w:color w:val="000000"/>
        </w:rPr>
        <w:t xml:space="preserve">Specify the date on which the statement or revision is to be published </w:t>
      </w:r>
    </w:p>
    <w:p w:rsidR="000874EA" w:rsidRDefault="000874EA" w:rsidP="000874EA">
      <w:pPr>
        <w:pStyle w:val="ListParagraph"/>
        <w:numPr>
          <w:ilvl w:val="0"/>
          <w:numId w:val="17"/>
        </w:numPr>
        <w:rPr>
          <w:rFonts w:cs="Arial"/>
          <w:color w:val="000000"/>
        </w:rPr>
      </w:pPr>
      <w:r>
        <w:rPr>
          <w:rFonts w:ascii="Arial" w:hAnsi="Arial" w:cs="Arial"/>
          <w:color w:val="000000"/>
        </w:rPr>
        <w:t xml:space="preserve">Specify the date on which the statement or revision will come into effect </w:t>
      </w:r>
    </w:p>
    <w:p w:rsidR="000874EA" w:rsidRDefault="000874EA" w:rsidP="000874EA">
      <w:pPr>
        <w:pStyle w:val="ListParagraph"/>
        <w:numPr>
          <w:ilvl w:val="0"/>
          <w:numId w:val="17"/>
        </w:numPr>
        <w:rPr>
          <w:rFonts w:cs="Arial"/>
          <w:color w:val="000000"/>
        </w:rPr>
      </w:pPr>
      <w:r>
        <w:rPr>
          <w:rFonts w:ascii="Arial" w:hAnsi="Arial" w:cs="Arial"/>
          <w:color w:val="000000"/>
        </w:rPr>
        <w:t xml:space="preserve">Specify the internet address where the statement or revision will be published and the address of the premises at which it may be inspected (for 4 weeks before it comes into effect ) </w:t>
      </w:r>
    </w:p>
    <w:p w:rsidR="000874EA" w:rsidRDefault="000874EA" w:rsidP="000874EA">
      <w:pPr>
        <w:pStyle w:val="ListParagraph"/>
        <w:numPr>
          <w:ilvl w:val="0"/>
          <w:numId w:val="17"/>
        </w:numPr>
        <w:rPr>
          <w:rFonts w:cs="Arial"/>
          <w:color w:val="000000"/>
        </w:rPr>
      </w:pPr>
      <w:r>
        <w:rPr>
          <w:rFonts w:ascii="Arial" w:hAnsi="Arial" w:cs="Arial"/>
          <w:color w:val="000000"/>
        </w:rPr>
        <w:t xml:space="preserve">Publish the statement or revision on the authority’s website (for 4 weeks before it comes into effect ) and </w:t>
      </w:r>
    </w:p>
    <w:p w:rsidR="000874EA" w:rsidRDefault="000874EA" w:rsidP="000874EA">
      <w:pPr>
        <w:pStyle w:val="ListParagraph"/>
        <w:numPr>
          <w:ilvl w:val="0"/>
          <w:numId w:val="17"/>
        </w:numPr>
        <w:rPr>
          <w:rFonts w:cs="Arial"/>
          <w:color w:val="000000"/>
        </w:rPr>
      </w:pPr>
      <w:r>
        <w:rPr>
          <w:rFonts w:ascii="Arial" w:hAnsi="Arial" w:cs="Arial"/>
          <w:color w:val="000000"/>
        </w:rPr>
        <w:t>In or more of the following places:-</w:t>
      </w:r>
    </w:p>
    <w:p w:rsidR="000874EA" w:rsidRDefault="000874EA" w:rsidP="000874EA">
      <w:pPr>
        <w:pStyle w:val="ListParagraph"/>
        <w:numPr>
          <w:ilvl w:val="0"/>
          <w:numId w:val="18"/>
        </w:numPr>
        <w:rPr>
          <w:rFonts w:cs="Arial"/>
          <w:color w:val="000000"/>
        </w:rPr>
      </w:pPr>
      <w:r>
        <w:rPr>
          <w:rFonts w:ascii="Arial" w:hAnsi="Arial" w:cs="Arial"/>
          <w:color w:val="000000"/>
        </w:rPr>
        <w:t>In a local newspaper circulating in the area covered by the statement</w:t>
      </w:r>
    </w:p>
    <w:p w:rsidR="000874EA" w:rsidRDefault="000874EA" w:rsidP="000874EA">
      <w:pPr>
        <w:pStyle w:val="ListParagraph"/>
        <w:numPr>
          <w:ilvl w:val="0"/>
          <w:numId w:val="18"/>
        </w:numPr>
        <w:rPr>
          <w:rFonts w:cs="Arial"/>
          <w:color w:val="000000"/>
        </w:rPr>
      </w:pPr>
      <w:r>
        <w:rPr>
          <w:rFonts w:ascii="Arial" w:hAnsi="Arial" w:cs="Arial"/>
          <w:color w:val="000000"/>
        </w:rPr>
        <w:t xml:space="preserve">A local newsletter, circular or similar document circulating in the area covered by the statement </w:t>
      </w:r>
    </w:p>
    <w:p w:rsidR="000874EA" w:rsidRDefault="000874EA" w:rsidP="000874EA">
      <w:pPr>
        <w:pStyle w:val="ListParagraph"/>
        <w:numPr>
          <w:ilvl w:val="0"/>
          <w:numId w:val="18"/>
        </w:numPr>
        <w:rPr>
          <w:rFonts w:cs="Arial"/>
          <w:color w:val="000000"/>
        </w:rPr>
      </w:pPr>
      <w:r>
        <w:rPr>
          <w:rFonts w:ascii="Arial" w:hAnsi="Arial" w:cs="Arial"/>
          <w:color w:val="000000"/>
        </w:rPr>
        <w:t>A public notice board in or near the principal office of the Council</w:t>
      </w:r>
    </w:p>
    <w:p w:rsidR="000874EA" w:rsidRPr="000874EA" w:rsidRDefault="000874EA" w:rsidP="000874EA">
      <w:pPr>
        <w:rPr>
          <w:rFonts w:cs="Arial"/>
          <w:b/>
          <w:caps/>
        </w:rPr>
      </w:pPr>
    </w:p>
    <w:p w:rsidR="00F43895" w:rsidRPr="00792A2B" w:rsidRDefault="00F43895" w:rsidP="00F43895">
      <w:pPr>
        <w:rPr>
          <w:rFonts w:cs="Arial"/>
          <w:b/>
        </w:rPr>
      </w:pPr>
      <w:r w:rsidRPr="00792A2B">
        <w:rPr>
          <w:rFonts w:cs="Arial"/>
          <w:b/>
        </w:rPr>
        <w:t>10.  COMMENTS OF THE STATUTORY FINANCE OFFICER</w:t>
      </w:r>
    </w:p>
    <w:p w:rsidR="00BE2A3F" w:rsidRPr="00792A2B" w:rsidRDefault="00BE2A3F" w:rsidP="00F43895">
      <w:pPr>
        <w:rPr>
          <w:rFonts w:cs="Arial"/>
          <w:b/>
        </w:rPr>
      </w:pPr>
    </w:p>
    <w:p w:rsidR="00F43895" w:rsidRDefault="00BE2A3F" w:rsidP="003200A7">
      <w:pPr>
        <w:ind w:left="720" w:hanging="720"/>
        <w:rPr>
          <w:rFonts w:cs="Arial"/>
        </w:rPr>
      </w:pPr>
      <w:r w:rsidRPr="00792A2B">
        <w:rPr>
          <w:rFonts w:cs="Arial"/>
        </w:rPr>
        <w:t xml:space="preserve">10.1   </w:t>
      </w:r>
      <w:r w:rsidR="003200A7">
        <w:rPr>
          <w:rFonts w:cs="Arial"/>
        </w:rPr>
        <w:t>N/A</w:t>
      </w:r>
    </w:p>
    <w:p w:rsidR="003200A7" w:rsidRPr="00792A2B" w:rsidRDefault="003200A7" w:rsidP="003200A7">
      <w:pPr>
        <w:ind w:left="720" w:hanging="720"/>
        <w:rPr>
          <w:rFonts w:cs="Arial"/>
          <w:b/>
          <w:i/>
        </w:rPr>
      </w:pPr>
    </w:p>
    <w:p w:rsidR="00F43895" w:rsidRDefault="00BE2A3F" w:rsidP="00BE2A3F">
      <w:pPr>
        <w:rPr>
          <w:rFonts w:cs="Arial"/>
          <w:b/>
        </w:rPr>
      </w:pPr>
      <w:r w:rsidRPr="00792A2B">
        <w:rPr>
          <w:rFonts w:cs="Arial"/>
          <w:b/>
        </w:rPr>
        <w:t xml:space="preserve">11.  </w:t>
      </w:r>
      <w:r w:rsidR="00F43895" w:rsidRPr="00792A2B">
        <w:rPr>
          <w:rFonts w:cs="Arial"/>
          <w:b/>
        </w:rPr>
        <w:t>COMMENTS OF THE MONITORING OFFICER</w:t>
      </w:r>
    </w:p>
    <w:p w:rsidR="003200A7" w:rsidRDefault="003200A7" w:rsidP="00BE2A3F">
      <w:pPr>
        <w:rPr>
          <w:rFonts w:cs="Arial"/>
          <w:b/>
        </w:rPr>
      </w:pPr>
    </w:p>
    <w:p w:rsidR="003200A7" w:rsidRPr="00396BAF" w:rsidRDefault="003200A7" w:rsidP="003200A7">
      <w:pPr>
        <w:rPr>
          <w:rFonts w:cs="Arial"/>
          <w:szCs w:val="22"/>
        </w:rPr>
      </w:pPr>
      <w:r w:rsidRPr="00396BAF">
        <w:rPr>
          <w:rFonts w:cs="Arial"/>
          <w:szCs w:val="22"/>
        </w:rPr>
        <w:t>The Act requires the Council to review its Statement of Gambling Principles every 3 years.  As stipulated at Paragraph 7 in the report, the statement or revision will have to be published 4 weeks</w:t>
      </w:r>
      <w:r w:rsidRPr="003200A7">
        <w:rPr>
          <w:rFonts w:cs="Arial"/>
          <w:szCs w:val="22"/>
        </w:rPr>
        <w:t xml:space="preserve"> </w:t>
      </w:r>
      <w:r w:rsidRPr="00396BAF">
        <w:rPr>
          <w:rFonts w:cs="Arial"/>
          <w:szCs w:val="22"/>
        </w:rPr>
        <w:t>before it comes into effect.  Failure to comply with the statutory requirements, could lead to possible legal challenges, costs to the Council and adversely affect the reputation of the Council</w:t>
      </w:r>
    </w:p>
    <w:p w:rsidR="003200A7" w:rsidRPr="00792A2B" w:rsidRDefault="003200A7" w:rsidP="00BE2A3F">
      <w:pPr>
        <w:rPr>
          <w:rFonts w:cs="Arial"/>
          <w:b/>
        </w:rPr>
      </w:pPr>
    </w:p>
    <w:p w:rsidR="00F43895" w:rsidRPr="00792A2B" w:rsidRDefault="00F43895" w:rsidP="00F43895">
      <w:pPr>
        <w:ind w:left="567"/>
        <w:rPr>
          <w:rFonts w:cs="Arial"/>
          <w:b/>
        </w:rPr>
      </w:pPr>
    </w:p>
    <w:p w:rsidR="000B5251" w:rsidRPr="00792A2B" w:rsidRDefault="000B5251" w:rsidP="000B5251">
      <w:pPr>
        <w:rPr>
          <w:b/>
          <w:szCs w:val="22"/>
        </w:rPr>
      </w:pPr>
      <w:r w:rsidRPr="00792A2B">
        <w:rPr>
          <w:b/>
          <w:szCs w:val="22"/>
        </w:rPr>
        <w:t xml:space="preserve">12. 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47741D">
            <w:pPr>
              <w:numPr>
                <w:ilvl w:val="0"/>
                <w:numId w:val="11"/>
              </w:numPr>
              <w:ind w:left="360"/>
              <w:rPr>
                <w:b/>
                <w:szCs w:val="22"/>
              </w:rPr>
            </w:pPr>
            <w:r w:rsidRPr="00792A2B">
              <w:rPr>
                <w:b/>
                <w:szCs w:val="22"/>
              </w:rPr>
              <w:t xml:space="preserve">Risk </w:t>
            </w:r>
          </w:p>
          <w:p w:rsidR="003C36EB" w:rsidRPr="00792A2B" w:rsidRDefault="003C36EB" w:rsidP="0047741D">
            <w:pPr>
              <w:rPr>
                <w:b/>
                <w:szCs w:val="22"/>
              </w:rPr>
            </w:pPr>
          </w:p>
          <w:p w:rsidR="002F5C5E" w:rsidRPr="00792A2B" w:rsidRDefault="00A56681" w:rsidP="00A56681">
            <w:pPr>
              <w:numPr>
                <w:ilvl w:val="0"/>
                <w:numId w:val="11"/>
              </w:numPr>
              <w:ind w:left="360"/>
              <w:rPr>
                <w:b/>
                <w:szCs w:val="22"/>
              </w:rPr>
            </w:pPr>
            <w:r w:rsidRPr="00792A2B">
              <w:rPr>
                <w:b/>
                <w:szCs w:val="22"/>
              </w:rPr>
              <w:t xml:space="preserve">Equality &amp; Diversity </w:t>
            </w:r>
          </w:p>
          <w:p w:rsidR="002F5C5E" w:rsidRPr="00792A2B" w:rsidRDefault="002F5C5E" w:rsidP="003200A7">
            <w:pPr>
              <w:rPr>
                <w:szCs w:val="22"/>
              </w:rPr>
            </w:pPr>
          </w:p>
        </w:tc>
        <w:tc>
          <w:tcPr>
            <w:tcW w:w="6379" w:type="dxa"/>
            <w:shd w:val="clear" w:color="auto" w:fill="auto"/>
          </w:tcPr>
          <w:p w:rsidR="002F5C5E" w:rsidRPr="00792A2B" w:rsidRDefault="002F5C5E" w:rsidP="00AC4A99">
            <w:pPr>
              <w:rPr>
                <w:szCs w:val="22"/>
              </w:rPr>
            </w:pPr>
          </w:p>
          <w:p w:rsidR="00F43895" w:rsidRPr="00E16ABE" w:rsidRDefault="00E16ABE" w:rsidP="00AC4A99">
            <w:pPr>
              <w:rPr>
                <w:szCs w:val="22"/>
              </w:rPr>
            </w:pPr>
            <w:r w:rsidRPr="00E16ABE">
              <w:rPr>
                <w:szCs w:val="22"/>
              </w:rPr>
              <w:t>None identified</w:t>
            </w:r>
          </w:p>
          <w:p w:rsidR="00A56681" w:rsidRPr="00792A2B" w:rsidRDefault="00A56681" w:rsidP="00AC4A99">
            <w:pPr>
              <w:rPr>
                <w:i/>
                <w:color w:val="2E74B5"/>
                <w:szCs w:val="22"/>
              </w:rPr>
            </w:pPr>
          </w:p>
          <w:p w:rsidR="00F43895" w:rsidRPr="00E16ABE" w:rsidRDefault="00E16ABE" w:rsidP="00AC4A99">
            <w:pPr>
              <w:rPr>
                <w:szCs w:val="22"/>
              </w:rPr>
            </w:pPr>
            <w:r w:rsidRPr="00E16ABE">
              <w:rPr>
                <w:szCs w:val="22"/>
              </w:rPr>
              <w:t>N/A</w:t>
            </w:r>
          </w:p>
          <w:p w:rsidR="00A56681" w:rsidRPr="00792A2B" w:rsidRDefault="00A56681" w:rsidP="00AC4A99">
            <w:pPr>
              <w:rPr>
                <w:i/>
                <w:color w:val="2E74B5"/>
                <w:szCs w:val="22"/>
              </w:rPr>
            </w:pPr>
          </w:p>
          <w:p w:rsidR="00F43895" w:rsidRPr="003200A7" w:rsidRDefault="003200A7" w:rsidP="00AC4A99">
            <w:pPr>
              <w:rPr>
                <w:szCs w:val="22"/>
              </w:rPr>
            </w:pPr>
            <w:r w:rsidRPr="003200A7">
              <w:rPr>
                <w:szCs w:val="22"/>
              </w:rPr>
              <w:t>N/A</w:t>
            </w:r>
          </w:p>
          <w:p w:rsidR="00A56681" w:rsidRPr="00792A2B" w:rsidRDefault="00A56681" w:rsidP="00AC4A99">
            <w:pPr>
              <w:rPr>
                <w:i/>
                <w:color w:val="2E74B5"/>
                <w:szCs w:val="22"/>
              </w:rPr>
            </w:pPr>
          </w:p>
          <w:p w:rsidR="00F43895" w:rsidRDefault="003200A7" w:rsidP="00AC4A99">
            <w:pPr>
              <w:rPr>
                <w:szCs w:val="22"/>
              </w:rPr>
            </w:pPr>
            <w:r w:rsidRPr="003200A7">
              <w:rPr>
                <w:szCs w:val="22"/>
              </w:rPr>
              <w:t>None identified</w:t>
            </w:r>
          </w:p>
          <w:p w:rsidR="003200A7" w:rsidRPr="003200A7" w:rsidRDefault="003200A7" w:rsidP="00AC4A99">
            <w:pPr>
              <w:rPr>
                <w:szCs w:val="22"/>
              </w:rPr>
            </w:pPr>
          </w:p>
          <w:p w:rsidR="00F43895" w:rsidRPr="00F43895" w:rsidRDefault="003200A7" w:rsidP="00AC4A99">
            <w:pPr>
              <w:rPr>
                <w:i/>
                <w:color w:val="2E74B5" w:themeColor="accent1" w:themeShade="BF"/>
                <w:szCs w:val="22"/>
              </w:rPr>
            </w:pPr>
            <w:r>
              <w:rPr>
                <w:rFonts w:cs="Arial"/>
                <w:szCs w:val="22"/>
              </w:rPr>
              <w:t>An Equalities impact has been considered but no protected characteristics under the Equalities Act 2010 are impacted other than age, and this catered for adequately under the Gambling Objective- Protecting Children and Vulnerable Persons from being Harmed</w:t>
            </w:r>
          </w:p>
        </w:tc>
      </w:tr>
    </w:tbl>
    <w:p w:rsidR="003200A7" w:rsidRDefault="003200A7" w:rsidP="002F5C5E">
      <w:pPr>
        <w:rPr>
          <w:b/>
          <w:szCs w:val="22"/>
        </w:rPr>
      </w:pPr>
    </w:p>
    <w:p w:rsidR="002F5C5E" w:rsidRDefault="000B5251" w:rsidP="002F5C5E">
      <w:pPr>
        <w:rPr>
          <w:b/>
          <w:szCs w:val="22"/>
        </w:rPr>
      </w:pPr>
      <w:r>
        <w:rPr>
          <w:b/>
          <w:szCs w:val="22"/>
        </w:rPr>
        <w:t xml:space="preserve">13. BACKGROUND DOCUMENTS </w:t>
      </w:r>
    </w:p>
    <w:p w:rsidR="00E16ABE" w:rsidRPr="00E16ABE" w:rsidRDefault="00E16ABE" w:rsidP="002F5C5E">
      <w:pPr>
        <w:rPr>
          <w:szCs w:val="22"/>
        </w:rPr>
      </w:pPr>
    </w:p>
    <w:p w:rsidR="00E16ABE" w:rsidRPr="00E16ABE" w:rsidRDefault="00E16ABE" w:rsidP="002F5C5E">
      <w:pPr>
        <w:rPr>
          <w:szCs w:val="22"/>
        </w:rPr>
      </w:pPr>
      <w:r w:rsidRPr="00E16ABE">
        <w:rPr>
          <w:szCs w:val="22"/>
        </w:rPr>
        <w:t>Copy of the Representation from Public Health</w:t>
      </w:r>
    </w:p>
    <w:p w:rsidR="000B5251" w:rsidRPr="009C1143" w:rsidRDefault="000B5251" w:rsidP="002F5C5E">
      <w:pPr>
        <w:rPr>
          <w:szCs w:val="22"/>
        </w:rPr>
      </w:pPr>
    </w:p>
    <w:p w:rsidR="000B5251" w:rsidRDefault="000B5251" w:rsidP="000B5251">
      <w:pPr>
        <w:rPr>
          <w:b/>
        </w:rPr>
      </w:pPr>
      <w:r w:rsidRPr="00792A2B">
        <w:rPr>
          <w:b/>
        </w:rPr>
        <w:t xml:space="preserve">14. APPENDICES </w:t>
      </w:r>
    </w:p>
    <w:p w:rsidR="00E16ABE" w:rsidRDefault="00E16ABE" w:rsidP="000B5251">
      <w:pPr>
        <w:rPr>
          <w:b/>
        </w:rPr>
      </w:pPr>
    </w:p>
    <w:p w:rsidR="00E16ABE" w:rsidRDefault="00E16ABE" w:rsidP="000B5251">
      <w:pPr>
        <w:rPr>
          <w:b/>
        </w:rPr>
      </w:pPr>
      <w:r>
        <w:rPr>
          <w:b/>
        </w:rPr>
        <w:t>Appendix A- Draft Gambling Policy January 2019-January 2021</w:t>
      </w:r>
    </w:p>
    <w:p w:rsidR="000B5251" w:rsidRDefault="000B5251" w:rsidP="000B5251">
      <w:pPr>
        <w:rPr>
          <w:b/>
        </w:rPr>
      </w:pPr>
    </w:p>
    <w:p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1554"/>
        <w:gridCol w:w="2357"/>
      </w:tblGrid>
      <w:tr w:rsidR="001C5E49" w:rsidTr="00E2196F">
        <w:tc>
          <w:tcPr>
            <w:tcW w:w="5700" w:type="dxa"/>
            <w:shd w:val="clear" w:color="auto" w:fill="auto"/>
          </w:tcPr>
          <w:p w:rsidR="001C5E49" w:rsidRPr="0031059E" w:rsidRDefault="001C5E49" w:rsidP="00E2196F">
            <w:pPr>
              <w:rPr>
                <w:rFonts w:cs="Arial"/>
              </w:rPr>
            </w:pPr>
            <w:r w:rsidRPr="0031059E">
              <w:rPr>
                <w:rFonts w:cs="Arial"/>
              </w:rPr>
              <w:t>Report Author:</w:t>
            </w:r>
          </w:p>
        </w:tc>
        <w:tc>
          <w:tcPr>
            <w:tcW w:w="1559" w:type="dxa"/>
            <w:shd w:val="clear" w:color="auto" w:fill="auto"/>
          </w:tcPr>
          <w:p w:rsidR="001C5E49" w:rsidRPr="0031059E" w:rsidRDefault="001C5E49" w:rsidP="00E2196F">
            <w:pPr>
              <w:rPr>
                <w:rFonts w:cs="Arial"/>
              </w:rPr>
            </w:pPr>
            <w:r w:rsidRPr="0031059E">
              <w:rPr>
                <w:rFonts w:cs="Arial"/>
              </w:rPr>
              <w:t>Telephone:</w:t>
            </w:r>
          </w:p>
        </w:tc>
        <w:tc>
          <w:tcPr>
            <w:tcW w:w="2380" w:type="dxa"/>
            <w:shd w:val="clear" w:color="auto" w:fill="auto"/>
          </w:tcPr>
          <w:p w:rsidR="001C5E49" w:rsidRPr="0031059E" w:rsidRDefault="001C5E49" w:rsidP="00E2196F">
            <w:pPr>
              <w:rPr>
                <w:rFonts w:cs="Arial"/>
              </w:rPr>
            </w:pPr>
            <w:r w:rsidRPr="0031059E">
              <w:rPr>
                <w:rFonts w:cs="Arial"/>
              </w:rPr>
              <w:t>Date:</w:t>
            </w:r>
          </w:p>
        </w:tc>
      </w:tr>
      <w:tr w:rsidR="00C903AC" w:rsidTr="00E2196F">
        <w:tc>
          <w:tcPr>
            <w:tcW w:w="5700" w:type="dxa"/>
            <w:shd w:val="clear" w:color="auto" w:fill="auto"/>
          </w:tcPr>
          <w:p w:rsidR="00C903AC" w:rsidRPr="00E16ABE" w:rsidRDefault="00E16ABE" w:rsidP="00C903AC">
            <w:pPr>
              <w:rPr>
                <w:rFonts w:cs="Arial"/>
              </w:rPr>
            </w:pPr>
            <w:r w:rsidRPr="00E16ABE">
              <w:rPr>
                <w:rFonts w:cs="Arial"/>
              </w:rPr>
              <w:t>Mark Marshall</w:t>
            </w:r>
          </w:p>
          <w:p w:rsidR="00C903AC" w:rsidRPr="0031059E" w:rsidRDefault="00C903AC" w:rsidP="00C903AC">
            <w:pPr>
              <w:ind w:left="-539" w:firstLine="539"/>
              <w:rPr>
                <w:rFonts w:cs="Arial"/>
              </w:rPr>
            </w:pPr>
          </w:p>
        </w:tc>
        <w:tc>
          <w:tcPr>
            <w:tcW w:w="1559" w:type="dxa"/>
            <w:shd w:val="clear" w:color="auto" w:fill="auto"/>
          </w:tcPr>
          <w:p w:rsidR="00C903AC" w:rsidRPr="0031059E" w:rsidRDefault="00C903AC" w:rsidP="00E16ABE">
            <w:pPr>
              <w:rPr>
                <w:rFonts w:cs="Arial"/>
              </w:rPr>
            </w:pPr>
            <w:r>
              <w:rPr>
                <w:rFonts w:cs="Arial"/>
              </w:rPr>
              <w:t>01772 62</w:t>
            </w:r>
            <w:r w:rsidR="00E16ABE">
              <w:rPr>
                <w:rFonts w:cs="Arial"/>
              </w:rPr>
              <w:t>5401</w:t>
            </w:r>
          </w:p>
        </w:tc>
        <w:tc>
          <w:tcPr>
            <w:tcW w:w="2380" w:type="dxa"/>
            <w:shd w:val="clear" w:color="auto" w:fill="auto"/>
          </w:tcPr>
          <w:p w:rsidR="00C903AC" w:rsidRPr="0031059E" w:rsidRDefault="00E16ABE" w:rsidP="00C903AC">
            <w:pPr>
              <w:rPr>
                <w:rFonts w:cs="Arial"/>
              </w:rPr>
            </w:pPr>
            <w:r>
              <w:rPr>
                <w:rFonts w:cs="Arial"/>
              </w:rPr>
              <w:t>23</w:t>
            </w:r>
            <w:r w:rsidRPr="00E16ABE">
              <w:rPr>
                <w:rFonts w:cs="Arial"/>
                <w:vertAlign w:val="superscript"/>
              </w:rPr>
              <w:t>rd</w:t>
            </w:r>
            <w:r>
              <w:rPr>
                <w:rFonts w:cs="Arial"/>
              </w:rPr>
              <w:t xml:space="preserve"> November 2018</w:t>
            </w:r>
          </w:p>
        </w:tc>
      </w:tr>
    </w:tbl>
    <w:p w:rsidR="001C5E49" w:rsidRPr="009725FB" w:rsidRDefault="001C5E49" w:rsidP="001C5E49">
      <w:pPr>
        <w:tabs>
          <w:tab w:val="left" w:pos="2839"/>
        </w:tabs>
        <w:rPr>
          <w:rFonts w:cs="Arial"/>
        </w:rPr>
      </w:pPr>
    </w:p>
    <w:sectPr w:rsidR="001C5E49" w:rsidRPr="009725FB" w:rsidSect="00E971A2">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FB5" w:rsidRDefault="00E35FB5">
      <w:r>
        <w:separator/>
      </w:r>
    </w:p>
  </w:endnote>
  <w:endnote w:type="continuationSeparator" w:id="0">
    <w:p w:rsidR="00E35FB5" w:rsidRDefault="00E3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811E33">
      <w:rPr>
        <w:noProof/>
        <w:sz w:val="24"/>
      </w:rPr>
      <w:t>4</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FB5" w:rsidRDefault="00E35FB5">
      <w:r>
        <w:separator/>
      </w:r>
    </w:p>
  </w:footnote>
  <w:footnote w:type="continuationSeparator" w:id="0">
    <w:p w:rsidR="00E35FB5" w:rsidRDefault="00E35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54718"/>
    <w:multiLevelType w:val="hybridMultilevel"/>
    <w:tmpl w:val="B0B80A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1ED052E2"/>
    <w:multiLevelType w:val="hybridMultilevel"/>
    <w:tmpl w:val="743CA0D6"/>
    <w:lvl w:ilvl="0" w:tplc="EB6656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350DA8"/>
    <w:multiLevelType w:val="multilevel"/>
    <w:tmpl w:val="C75CB29C"/>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5"/>
  </w:num>
  <w:num w:numId="3">
    <w:abstractNumId w:val="16"/>
  </w:num>
  <w:num w:numId="4">
    <w:abstractNumId w:val="10"/>
  </w:num>
  <w:num w:numId="5">
    <w:abstractNumId w:val="14"/>
  </w:num>
  <w:num w:numId="6">
    <w:abstractNumId w:val="7"/>
  </w:num>
  <w:num w:numId="7">
    <w:abstractNumId w:val="5"/>
  </w:num>
  <w:num w:numId="8">
    <w:abstractNumId w:val="6"/>
  </w:num>
  <w:num w:numId="9">
    <w:abstractNumId w:val="1"/>
  </w:num>
  <w:num w:numId="10">
    <w:abstractNumId w:val="2"/>
  </w:num>
  <w:num w:numId="11">
    <w:abstractNumId w:val="3"/>
  </w:num>
  <w:num w:numId="12">
    <w:abstractNumId w:val="11"/>
  </w:num>
  <w:num w:numId="13">
    <w:abstractNumId w:val="0"/>
  </w:num>
  <w:num w:numId="14">
    <w:abstractNumId w:val="17"/>
  </w:num>
  <w:num w:numId="15">
    <w:abstractNumId w:val="8"/>
  </w:num>
  <w:num w:numId="16">
    <w:abstractNumId w:val="1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874EA"/>
    <w:rsid w:val="000B5251"/>
    <w:rsid w:val="000E10FE"/>
    <w:rsid w:val="000F2C8A"/>
    <w:rsid w:val="001544DD"/>
    <w:rsid w:val="00184E1D"/>
    <w:rsid w:val="001938D6"/>
    <w:rsid w:val="001C5E49"/>
    <w:rsid w:val="002221BD"/>
    <w:rsid w:val="0025591B"/>
    <w:rsid w:val="002820A5"/>
    <w:rsid w:val="002A587B"/>
    <w:rsid w:val="002E4FF4"/>
    <w:rsid w:val="002F5C5E"/>
    <w:rsid w:val="003200A7"/>
    <w:rsid w:val="00342AB1"/>
    <w:rsid w:val="00345C71"/>
    <w:rsid w:val="00386AAD"/>
    <w:rsid w:val="003902A2"/>
    <w:rsid w:val="003A1B3F"/>
    <w:rsid w:val="003A23D3"/>
    <w:rsid w:val="003A2919"/>
    <w:rsid w:val="003B1E6D"/>
    <w:rsid w:val="003C36EB"/>
    <w:rsid w:val="003E33E6"/>
    <w:rsid w:val="003F5603"/>
    <w:rsid w:val="00405D4A"/>
    <w:rsid w:val="004218EA"/>
    <w:rsid w:val="00442C46"/>
    <w:rsid w:val="0046068E"/>
    <w:rsid w:val="00474DA8"/>
    <w:rsid w:val="0047741D"/>
    <w:rsid w:val="004A45D4"/>
    <w:rsid w:val="004D7260"/>
    <w:rsid w:val="004E296F"/>
    <w:rsid w:val="004F23B3"/>
    <w:rsid w:val="004F4C04"/>
    <w:rsid w:val="005041BB"/>
    <w:rsid w:val="00525728"/>
    <w:rsid w:val="00533525"/>
    <w:rsid w:val="00547120"/>
    <w:rsid w:val="00547481"/>
    <w:rsid w:val="00576A82"/>
    <w:rsid w:val="005A26AD"/>
    <w:rsid w:val="005B0C36"/>
    <w:rsid w:val="005D4F59"/>
    <w:rsid w:val="005F3B9F"/>
    <w:rsid w:val="0060374B"/>
    <w:rsid w:val="00630F86"/>
    <w:rsid w:val="00633396"/>
    <w:rsid w:val="00645A0B"/>
    <w:rsid w:val="006555E6"/>
    <w:rsid w:val="006879CA"/>
    <w:rsid w:val="006B645E"/>
    <w:rsid w:val="006B7116"/>
    <w:rsid w:val="006C04C1"/>
    <w:rsid w:val="006C209A"/>
    <w:rsid w:val="006E09FB"/>
    <w:rsid w:val="006F2214"/>
    <w:rsid w:val="006F76A3"/>
    <w:rsid w:val="00707E99"/>
    <w:rsid w:val="00712E3F"/>
    <w:rsid w:val="00772B9C"/>
    <w:rsid w:val="00792A2B"/>
    <w:rsid w:val="00811E33"/>
    <w:rsid w:val="00893AD2"/>
    <w:rsid w:val="008A2F6B"/>
    <w:rsid w:val="008A42E3"/>
    <w:rsid w:val="008A77AB"/>
    <w:rsid w:val="008B41C5"/>
    <w:rsid w:val="008C3B1A"/>
    <w:rsid w:val="008D623F"/>
    <w:rsid w:val="008F4B91"/>
    <w:rsid w:val="0090542C"/>
    <w:rsid w:val="009350CB"/>
    <w:rsid w:val="009538AE"/>
    <w:rsid w:val="00980267"/>
    <w:rsid w:val="00983CD5"/>
    <w:rsid w:val="00992E79"/>
    <w:rsid w:val="009A714A"/>
    <w:rsid w:val="009C1143"/>
    <w:rsid w:val="009D7225"/>
    <w:rsid w:val="009E48E0"/>
    <w:rsid w:val="00A1406A"/>
    <w:rsid w:val="00A22D02"/>
    <w:rsid w:val="00A30426"/>
    <w:rsid w:val="00A4702E"/>
    <w:rsid w:val="00A50754"/>
    <w:rsid w:val="00A56681"/>
    <w:rsid w:val="00A666B0"/>
    <w:rsid w:val="00A76482"/>
    <w:rsid w:val="00AC4A99"/>
    <w:rsid w:val="00B05FE8"/>
    <w:rsid w:val="00B1788B"/>
    <w:rsid w:val="00B443DD"/>
    <w:rsid w:val="00B51DB8"/>
    <w:rsid w:val="00B62D79"/>
    <w:rsid w:val="00B70B91"/>
    <w:rsid w:val="00B716F5"/>
    <w:rsid w:val="00B72A06"/>
    <w:rsid w:val="00B766C4"/>
    <w:rsid w:val="00B92298"/>
    <w:rsid w:val="00BA2606"/>
    <w:rsid w:val="00BC6635"/>
    <w:rsid w:val="00BE2A3F"/>
    <w:rsid w:val="00C022F9"/>
    <w:rsid w:val="00C209E3"/>
    <w:rsid w:val="00C30128"/>
    <w:rsid w:val="00C52450"/>
    <w:rsid w:val="00C55411"/>
    <w:rsid w:val="00C64ED1"/>
    <w:rsid w:val="00C66BAA"/>
    <w:rsid w:val="00C903AC"/>
    <w:rsid w:val="00CB32DF"/>
    <w:rsid w:val="00CC3246"/>
    <w:rsid w:val="00CE3DA1"/>
    <w:rsid w:val="00CE4482"/>
    <w:rsid w:val="00CF6B60"/>
    <w:rsid w:val="00D03328"/>
    <w:rsid w:val="00D36638"/>
    <w:rsid w:val="00D37BAE"/>
    <w:rsid w:val="00D772AB"/>
    <w:rsid w:val="00D90A00"/>
    <w:rsid w:val="00D91845"/>
    <w:rsid w:val="00D9371C"/>
    <w:rsid w:val="00DB3FD0"/>
    <w:rsid w:val="00DE5E12"/>
    <w:rsid w:val="00E16ABE"/>
    <w:rsid w:val="00E2196F"/>
    <w:rsid w:val="00E2276E"/>
    <w:rsid w:val="00E35FB5"/>
    <w:rsid w:val="00E41950"/>
    <w:rsid w:val="00E569CB"/>
    <w:rsid w:val="00E577A2"/>
    <w:rsid w:val="00E60A53"/>
    <w:rsid w:val="00E63940"/>
    <w:rsid w:val="00E65159"/>
    <w:rsid w:val="00E733A5"/>
    <w:rsid w:val="00E753EC"/>
    <w:rsid w:val="00E84459"/>
    <w:rsid w:val="00E971A2"/>
    <w:rsid w:val="00EA4E62"/>
    <w:rsid w:val="00EB2D32"/>
    <w:rsid w:val="00EB632E"/>
    <w:rsid w:val="00EB7C94"/>
    <w:rsid w:val="00ED257A"/>
    <w:rsid w:val="00EF61CB"/>
    <w:rsid w:val="00F3057A"/>
    <w:rsid w:val="00F30E9C"/>
    <w:rsid w:val="00F43895"/>
    <w:rsid w:val="00F55E4D"/>
    <w:rsid w:val="00F61752"/>
    <w:rsid w:val="00F67F95"/>
    <w:rsid w:val="00FB38E3"/>
    <w:rsid w:val="00FB3C0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aconcounsellingtrust.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A24B4-EE68-41A4-9ED9-81817FA8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4</Pages>
  <Words>1213</Words>
  <Characters>6466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2018-03-14T15:24:00Z</cp:lastPrinted>
  <dcterms:created xsi:type="dcterms:W3CDTF">2018-11-27T14:49:00Z</dcterms:created>
  <dcterms:modified xsi:type="dcterms:W3CDTF">2018-11-27T14:49:00Z</dcterms:modified>
</cp:coreProperties>
</file>